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pPr w:leftFromText="142" w:rightFromText="142" w:topFromText="0" w:bottomFromText="0" w:vertAnchor="text" w:horzAnchor="text" w:tblpX="117" w:tblpY="39"/>
        <w:tblW w:w="0" w:type="auto"/>
        <w:tblLayout w:type="fixed"/>
        <w:tblLook w:firstRow="1" w:lastRow="0" w:firstColumn="1" w:lastColumn="0" w:noHBand="0" w:noVBand="1" w:val="04A0"/>
      </w:tblPr>
      <w:tblGrid>
        <w:gridCol w:w="420"/>
        <w:gridCol w:w="2730"/>
        <w:gridCol w:w="6720"/>
      </w:tblGrid>
      <w:tr>
        <w:trPr/>
        <w:tc>
          <w:tcPr>
            <w:tcW w:w="98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8"/>
              </w:rPr>
              <w:t>■申請上の留意点</w:t>
            </w:r>
          </w:p>
        </w:tc>
      </w:tr>
      <w:tr>
        <w:trPr>
          <w:trHeight w:val="567" w:hRule="atLeast"/>
        </w:trPr>
        <w:tc>
          <w:tcPr>
            <w:tcW w:w="420" w:type="dxa"/>
            <w:shd w:val="clear" w:color="auto" w:themeFill="accent6" w:themeFillTint="33" w:themeFillShade="FF"/>
            <w:vAlign w:val="center"/>
          </w:tcPr>
          <w:p>
            <w:pPr>
              <w:pStyle w:val="0"/>
              <w:spacing w:line="240" w:lineRule="atLeast"/>
              <w:contextualSpacing w:val="1"/>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①</w:t>
            </w:r>
          </w:p>
        </w:tc>
        <w:tc>
          <w:tcPr>
            <w:tcW w:w="2730" w:type="dxa"/>
            <w:shd w:val="clear" w:color="auto" w:themeFill="accent6" w:themeFillTint="33" w:themeFillShade="FF"/>
            <w:vAlign w:val="center"/>
          </w:tcPr>
          <w:p>
            <w:pPr>
              <w:pStyle w:val="0"/>
              <w:spacing w:line="240" w:lineRule="atLeast"/>
              <w:contextualSpacing w:val="1"/>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建築物の用途について</w:t>
            </w:r>
          </w:p>
        </w:tc>
        <w:tc>
          <w:tcPr>
            <w:tcW w:w="6720" w:type="dxa"/>
            <w:shd w:val="clear" w:color="auto" w:themeFill="accent6" w:themeFillTint="33" w:themeFillShade="FF"/>
            <w:vAlign w:val="center"/>
          </w:tcPr>
          <w:p>
            <w:pPr>
              <w:pStyle w:val="0"/>
              <w:spacing w:line="240" w:lineRule="atLeast"/>
              <w:ind w:firstLineChars="0"/>
              <w:contextualSpacing w:val="1"/>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用途の判断が難しい場合は、事前に協議して下さい。</w:t>
            </w:r>
          </w:p>
        </w:tc>
      </w:tr>
      <w:tr>
        <w:trPr/>
        <w:tc>
          <w:tcPr>
            <w:tcW w:w="420" w:type="dxa"/>
            <w:vAlign w:val="center"/>
          </w:tcPr>
          <w:p>
            <w:pPr>
              <w:pStyle w:val="0"/>
              <w:spacing w:line="240" w:lineRule="atLeast"/>
              <w:contextualSpacing w:val="1"/>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②</w:t>
            </w:r>
          </w:p>
        </w:tc>
        <w:tc>
          <w:tcPr>
            <w:tcW w:w="2730" w:type="dxa"/>
            <w:vAlign w:val="center"/>
          </w:tcPr>
          <w:p>
            <w:pPr>
              <w:pStyle w:val="0"/>
              <w:spacing w:line="240" w:lineRule="atLeast"/>
              <w:contextualSpacing w:val="1"/>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図面の端数処理について</w:t>
            </w:r>
          </w:p>
        </w:tc>
        <w:tc>
          <w:tcPr>
            <w:tcW w:w="6720" w:type="dxa"/>
            <w:vAlign w:val="top"/>
          </w:tcPr>
          <w:p>
            <w:pPr>
              <w:pStyle w:val="0"/>
              <w:spacing w:line="240" w:lineRule="atLeast"/>
              <w:ind w:firstLine="220" w:firstLineChars="100"/>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図面の端数処理については、小数点以下第３位を切り捨てる（不動産登記法・同施工令に準拠）床面積、建築面積においても同様の処理を行って下さい。</w:t>
            </w:r>
          </w:p>
        </w:tc>
      </w:tr>
      <w:tr>
        <w:trPr/>
        <w:tc>
          <w:tcPr>
            <w:tcW w:w="420" w:type="dxa"/>
            <w:shd w:val="clear" w:color="auto" w:themeFill="accent6" w:themeFillTint="33" w:themeFillShade="FF"/>
            <w:vAlign w:val="center"/>
          </w:tcPr>
          <w:p>
            <w:pPr>
              <w:pStyle w:val="0"/>
              <w:spacing w:line="240" w:lineRule="atLeast"/>
              <w:contextualSpacing w:val="1"/>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③</w:t>
            </w:r>
          </w:p>
        </w:tc>
        <w:tc>
          <w:tcPr>
            <w:tcW w:w="2730" w:type="dxa"/>
            <w:shd w:val="clear" w:color="auto" w:themeFill="accent6" w:themeFillTint="33" w:themeFillShade="FF"/>
            <w:vAlign w:val="center"/>
          </w:tcPr>
          <w:p>
            <w:pPr>
              <w:pStyle w:val="0"/>
              <w:spacing w:line="240" w:lineRule="atLeast"/>
              <w:contextualSpacing w:val="1"/>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助成金算定基礎面積の</w:t>
            </w:r>
          </w:p>
          <w:p>
            <w:pPr>
              <w:pStyle w:val="0"/>
              <w:spacing w:line="240" w:lineRule="atLeast"/>
              <w:contextualSpacing w:val="1"/>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算定方法</w:t>
            </w:r>
          </w:p>
        </w:tc>
        <w:tc>
          <w:tcPr>
            <w:tcW w:w="6720" w:type="dxa"/>
            <w:shd w:val="clear" w:color="auto" w:themeFill="accent6" w:themeFillTint="33" w:themeFillShade="FF"/>
            <w:vAlign w:val="top"/>
          </w:tcPr>
          <w:p>
            <w:pPr>
              <w:pStyle w:val="0"/>
              <w:spacing w:line="240" w:lineRule="atLeast"/>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延べ床面積－対象外床面積の合計※</w:t>
            </w:r>
            <w:r>
              <w:rPr>
                <w:rFonts w:hint="eastAsia" w:ascii="HG丸ｺﾞｼｯｸM-PRO" w:hAnsi="HG丸ｺﾞｼｯｸM-PRO" w:eastAsia="HG丸ｺﾞｼｯｸM-PRO"/>
                <w:sz w:val="22"/>
              </w:rPr>
              <w:t>1</w:t>
            </w:r>
            <w:r>
              <w:rPr>
                <w:rFonts w:hint="eastAsia" w:ascii="HG丸ｺﾞｼｯｸM-PRO" w:hAnsi="HG丸ｺﾞｼｯｸM-PRO" w:eastAsia="HG丸ｺﾞｼｯｸM-PRO"/>
                <w:sz w:val="22"/>
              </w:rPr>
              <w:t>＝助成金算定基礎面積</w:t>
            </w:r>
          </w:p>
          <w:p>
            <w:pPr>
              <w:pStyle w:val="0"/>
              <w:spacing w:line="240" w:lineRule="atLeast"/>
              <w:ind w:firstLine="220" w:firstLineChars="100"/>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※１</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対象外床面積</w:t>
            </w:r>
          </w:p>
          <w:p>
            <w:pPr>
              <w:pStyle w:val="0"/>
              <w:spacing w:line="240" w:lineRule="atLeast"/>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①当該住宅を管理する者が専用する面積（管理人室など）</w:t>
            </w:r>
          </w:p>
          <w:p>
            <w:pPr>
              <w:pStyle w:val="0"/>
              <w:spacing w:line="240" w:lineRule="atLeast"/>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②居住の用途に供されない面積（車庫・物置など）</w:t>
            </w:r>
          </w:p>
          <w:p>
            <w:pPr>
              <w:pStyle w:val="0"/>
              <w:spacing w:line="240" w:lineRule="atLeast"/>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③一戸当たりの専用部分の床面積が、要綱で定めた面積未満</w:t>
            </w:r>
          </w:p>
          <w:p>
            <w:pPr>
              <w:pStyle w:val="0"/>
              <w:spacing w:line="240" w:lineRule="atLeast"/>
              <w:ind w:firstLine="660" w:firstLineChars="300"/>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の室</w:t>
            </w:r>
          </w:p>
        </w:tc>
      </w:tr>
      <w:tr>
        <w:trPr/>
        <w:tc>
          <w:tcPr>
            <w:tcW w:w="420" w:type="dxa"/>
            <w:vAlign w:val="center"/>
          </w:tcPr>
          <w:p>
            <w:pPr>
              <w:pStyle w:val="0"/>
              <w:spacing w:line="240" w:lineRule="atLeast"/>
              <w:contextualSpacing w:val="1"/>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④</w:t>
            </w:r>
          </w:p>
        </w:tc>
        <w:tc>
          <w:tcPr>
            <w:tcW w:w="2730" w:type="dxa"/>
            <w:vAlign w:val="center"/>
          </w:tcPr>
          <w:p>
            <w:pPr>
              <w:pStyle w:val="0"/>
              <w:spacing w:line="240" w:lineRule="atLeast"/>
              <w:contextualSpacing w:val="1"/>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助成金の考え方</w:t>
            </w:r>
          </w:p>
        </w:tc>
        <w:tc>
          <w:tcPr>
            <w:tcW w:w="6720" w:type="dxa"/>
            <w:vAlign w:val="top"/>
          </w:tcPr>
          <w:p>
            <w:pPr>
              <w:pStyle w:val="0"/>
              <w:spacing w:line="240" w:lineRule="atLeast"/>
              <w:ind w:firstLine="220" w:firstLineChars="100"/>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助成金の額は、助成金算定基礎面積によって求められる為、各部屋に備品等（カーテン・絨緞・照明器具等）を備え付けても問題ありません。</w:t>
            </w:r>
          </w:p>
        </w:tc>
      </w:tr>
      <w:tr>
        <w:trPr/>
        <w:tc>
          <w:tcPr>
            <w:tcW w:w="420" w:type="dxa"/>
            <w:shd w:val="clear" w:color="auto" w:themeFill="accent6" w:themeFillTint="33" w:themeFillShade="FF"/>
            <w:vAlign w:val="center"/>
          </w:tcPr>
          <w:p>
            <w:pPr>
              <w:pStyle w:val="0"/>
              <w:spacing w:line="240" w:lineRule="atLeast"/>
              <w:contextualSpacing w:val="1"/>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⑤</w:t>
            </w:r>
          </w:p>
        </w:tc>
        <w:tc>
          <w:tcPr>
            <w:tcW w:w="2730" w:type="dxa"/>
            <w:shd w:val="clear" w:color="auto" w:themeFill="accent6" w:themeFillTint="33" w:themeFillShade="FF"/>
            <w:vAlign w:val="center"/>
          </w:tcPr>
          <w:p>
            <w:pPr>
              <w:pStyle w:val="0"/>
              <w:spacing w:line="240" w:lineRule="atLeast"/>
              <w:contextualSpacing w:val="1"/>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軽微な変更の取り扱い</w:t>
            </w:r>
          </w:p>
        </w:tc>
        <w:tc>
          <w:tcPr>
            <w:tcW w:w="6720" w:type="dxa"/>
            <w:shd w:val="clear" w:color="auto" w:themeFill="accent6" w:themeFillTint="33" w:themeFillShade="FF"/>
            <w:vAlign w:val="top"/>
          </w:tcPr>
          <w:p>
            <w:pPr>
              <w:pStyle w:val="0"/>
              <w:spacing w:line="240" w:lineRule="atLeast"/>
              <w:ind w:leftChars="0" w:firstLine="0" w:firstLineChars="0"/>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下記以外の変更については、変更申請が必要になります。</w:t>
            </w:r>
          </w:p>
          <w:p>
            <w:pPr>
              <w:pStyle w:val="0"/>
              <w:spacing w:line="240" w:lineRule="atLeast"/>
              <w:ind w:left="0" w:leftChars="0" w:firstLine="220" w:firstLineChars="100"/>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①敷地に接する道路の幅員及び敷地が道路に接する部分</w:t>
            </w:r>
          </w:p>
          <w:p>
            <w:pPr>
              <w:pStyle w:val="0"/>
              <w:spacing w:line="240" w:lineRule="atLeast"/>
              <w:ind w:left="420" w:leftChars="200" w:firstLine="0" w:firstLineChars="0"/>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の長さの変更</w:t>
            </w:r>
          </w:p>
          <w:p>
            <w:pPr>
              <w:pStyle w:val="0"/>
              <w:spacing w:line="240" w:lineRule="atLeast"/>
              <w:ind w:left="0" w:leftChars="0" w:firstLine="220" w:firstLineChars="100"/>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②敷地面積が増加する場合の敷地面積及び敷地境界線の変更</w:t>
            </w:r>
          </w:p>
          <w:p>
            <w:pPr>
              <w:pStyle w:val="0"/>
              <w:spacing w:line="240" w:lineRule="atLeast"/>
              <w:ind w:left="0" w:leftChars="0" w:firstLine="220" w:firstLineChars="100"/>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③建築物の高さが減少する場合における建築物の高さの変更</w:t>
            </w:r>
          </w:p>
          <w:p>
            <w:pPr>
              <w:pStyle w:val="0"/>
              <w:spacing w:line="240" w:lineRule="atLeast"/>
              <w:ind w:left="0" w:leftChars="0" w:firstLine="220" w:firstLineChars="100"/>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④開口部の位置及び大きさの変更</w:t>
            </w:r>
          </w:p>
          <w:p>
            <w:pPr>
              <w:pStyle w:val="0"/>
              <w:spacing w:line="240" w:lineRule="atLeast"/>
              <w:ind w:left="430" w:leftChars="100" w:hanging="220" w:hangingChars="100"/>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⑤内外装材の変更（著しく性能が低下する材料への変更は除く）</w:t>
            </w:r>
          </w:p>
          <w:p>
            <w:pPr>
              <w:pStyle w:val="0"/>
              <w:spacing w:line="240" w:lineRule="atLeast"/>
              <w:ind w:left="0" w:leftChars="0" w:firstLine="220" w:firstLineChars="100"/>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⑥建築設備の材料、位置又は能力の変更</w:t>
            </w:r>
          </w:p>
          <w:p>
            <w:pPr>
              <w:pStyle w:val="0"/>
              <w:spacing w:line="240" w:lineRule="atLeast"/>
              <w:ind w:left="0" w:leftChars="0" w:firstLine="220" w:firstLineChars="100"/>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⑦その他不明な点は担当者と協議</w:t>
            </w:r>
          </w:p>
          <w:p>
            <w:pPr>
              <w:pStyle w:val="0"/>
              <w:spacing w:line="240" w:lineRule="atLeast"/>
              <w:ind w:firstLine="440" w:firstLineChars="200"/>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※建築確認申請の軽微な変更とは別に考えます。</w:t>
            </w:r>
          </w:p>
        </w:tc>
      </w:tr>
      <w:tr>
        <w:trPr/>
        <w:tc>
          <w:tcPr>
            <w:tcW w:w="420" w:type="dxa"/>
            <w:vAlign w:val="center"/>
          </w:tcPr>
          <w:p>
            <w:pPr>
              <w:pStyle w:val="0"/>
              <w:spacing w:line="240" w:lineRule="atLeast"/>
              <w:contextualSpacing w:val="1"/>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⑥</w:t>
            </w:r>
          </w:p>
        </w:tc>
        <w:tc>
          <w:tcPr>
            <w:tcW w:w="2730" w:type="dxa"/>
            <w:vAlign w:val="center"/>
          </w:tcPr>
          <w:p>
            <w:pPr>
              <w:pStyle w:val="0"/>
              <w:spacing w:line="240" w:lineRule="atLeast"/>
              <w:contextualSpacing w:val="1"/>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住宅性能表示制度について</w:t>
            </w:r>
          </w:p>
        </w:tc>
        <w:tc>
          <w:tcPr>
            <w:tcW w:w="6720" w:type="dxa"/>
            <w:vAlign w:val="top"/>
          </w:tcPr>
          <w:p>
            <w:pPr>
              <w:pStyle w:val="0"/>
              <w:spacing w:line="240" w:lineRule="atLeast"/>
              <w:ind w:firstLine="220" w:firstLineChars="100"/>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本事業で建設された住宅の品質を確保するため、日本住宅性能表示基準に基づき、</w:t>
            </w:r>
            <w:r>
              <w:rPr>
                <w:rFonts w:hint="eastAsia" w:ascii="HG丸ｺﾞｼｯｸM-PRO" w:hAnsi="HG丸ｺﾞｼｯｸM-PRO" w:eastAsia="HG丸ｺﾞｼｯｸM-PRO"/>
                <w:sz w:val="22"/>
              </w:rPr>
              <w:t>4</w:t>
            </w:r>
            <w:r>
              <w:rPr>
                <w:rFonts w:hint="eastAsia" w:ascii="HG丸ｺﾞｼｯｸM-PRO" w:hAnsi="HG丸ｺﾞｼｯｸM-PRO" w:eastAsia="HG丸ｺﾞｼｯｸM-PRO"/>
                <w:sz w:val="22"/>
              </w:rPr>
              <w:t>分野</w:t>
            </w:r>
            <w:r>
              <w:rPr>
                <w:rFonts w:hint="eastAsia" w:ascii="HG丸ｺﾞｼｯｸM-PRO" w:hAnsi="HG丸ｺﾞｼｯｸM-PRO" w:eastAsia="HG丸ｺﾞｼｯｸM-PRO"/>
                <w:sz w:val="22"/>
              </w:rPr>
              <w:t>10</w:t>
            </w:r>
            <w:r>
              <w:rPr>
                <w:rFonts w:hint="eastAsia" w:ascii="HG丸ｺﾞｼｯｸM-PRO" w:hAnsi="HG丸ｺﾞｼｯｸM-PRO" w:eastAsia="HG丸ｺﾞｼｯｸM-PRO"/>
                <w:sz w:val="22"/>
              </w:rPr>
              <w:t>項目で</w:t>
            </w:r>
            <w:r>
              <w:rPr>
                <w:rFonts w:hint="eastAsia" w:ascii="HG丸ｺﾞｼｯｸM-PRO" w:hAnsi="HG丸ｺﾞｼｯｸM-PRO" w:eastAsia="HG丸ｺﾞｼｯｸM-PRO"/>
                <w:sz w:val="22"/>
                <w:u w:val="single" w:color="auto"/>
              </w:rPr>
              <w:t>町が示した基準</w:t>
            </w:r>
            <w:r>
              <w:rPr>
                <w:rFonts w:hint="eastAsia" w:ascii="HG丸ｺﾞｼｯｸM-PRO" w:hAnsi="HG丸ｺﾞｼｯｸM-PRO" w:eastAsia="HG丸ｺﾞｼｯｸM-PRO"/>
                <w:color w:val="FF0000"/>
                <w:sz w:val="22"/>
                <w:vertAlign w:val="superscript"/>
              </w:rPr>
              <w:t>※</w:t>
            </w:r>
            <w:r>
              <w:rPr>
                <w:rFonts w:hint="eastAsia" w:ascii="HG丸ｺﾞｼｯｸM-PRO" w:hAnsi="HG丸ｺﾞｼｯｸM-PRO" w:eastAsia="HG丸ｺﾞｼｯｸM-PRO"/>
                <w:color w:val="FF0000"/>
                <w:sz w:val="22"/>
                <w:vertAlign w:val="superscript"/>
              </w:rPr>
              <w:t>1</w:t>
            </w:r>
            <w:r>
              <w:rPr>
                <w:rFonts w:hint="eastAsia" w:ascii="HG丸ｺﾞｼｯｸM-PRO" w:hAnsi="HG丸ｺﾞｼｯｸM-PRO" w:eastAsia="HG丸ｺﾞｼｯｸM-PRO"/>
                <w:sz w:val="22"/>
              </w:rPr>
              <w:t>をクリアする必要があります。</w:t>
            </w:r>
            <w:r>
              <w:rPr>
                <w:rFonts w:hint="eastAsia" w:ascii="HG丸ｺﾞｼｯｸM-PRO" w:hAnsi="HG丸ｺﾞｼｯｸM-PRO" w:eastAsia="HG丸ｺﾞｼｯｸM-PRO"/>
                <w:color w:val="FF0000"/>
                <w:sz w:val="22"/>
              </w:rPr>
              <w:t>※住宅整備基準チェックリスト</w:t>
            </w:r>
          </w:p>
          <w:p>
            <w:pPr>
              <w:pStyle w:val="0"/>
              <w:spacing w:line="240" w:lineRule="atLeast"/>
              <w:ind w:firstLine="220" w:firstLineChars="100"/>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評価基準については、評価資料を添付書類として提出するか、登録住宅性能評価機関に外注し、設計住宅性能評価書を提出することもできます。</w:t>
            </w:r>
          </w:p>
          <w:p>
            <w:pPr>
              <w:pStyle w:val="0"/>
              <w:spacing w:line="240" w:lineRule="atLeast"/>
              <w:contextualSpacing w:val="1"/>
              <w:rPr>
                <w:rFonts w:hint="eastAsia" w:ascii="HG丸ｺﾞｼｯｸM-PRO" w:hAnsi="HG丸ｺﾞｼｯｸM-PRO" w:eastAsia="HG丸ｺﾞｼｯｸM-PRO"/>
                <w:sz w:val="22"/>
              </w:rPr>
            </w:pPr>
          </w:p>
          <w:p>
            <w:pPr>
              <w:pStyle w:val="0"/>
              <w:spacing w:line="240" w:lineRule="atLeast"/>
              <w:contextualSpacing w:val="1"/>
              <w:rPr>
                <w:rFonts w:hint="eastAsia" w:ascii="HG丸ｺﾞｼｯｸM-PRO" w:hAnsi="HG丸ｺﾞｼｯｸM-PRO" w:eastAsia="HG丸ｺﾞｼｯｸM-PRO"/>
                <w:sz w:val="22"/>
              </w:rPr>
            </w:pPr>
            <w:r>
              <w:rPr>
                <w:rFonts w:hint="eastAsia" w:ascii="HG丸ｺﾞｼｯｸM-PRO" w:hAnsi="HG丸ｺﾞｼｯｸM-PRO" w:eastAsia="HG丸ｺﾞｼｯｸM-PRO"/>
                <w:b w:val="1"/>
                <w:color w:val="0070C0"/>
                <w:sz w:val="22"/>
              </w:rPr>
              <w:t>「住宅性能表示制度」</w:t>
            </w:r>
            <w:r>
              <w:rPr>
                <w:rFonts w:hint="eastAsia" w:ascii="HG丸ｺﾞｼｯｸM-PRO" w:hAnsi="HG丸ｺﾞｼｯｸM-PRO" w:eastAsia="HG丸ｺﾞｼｯｸM-PRO"/>
                <w:color w:val="0070C0"/>
                <w:sz w:val="22"/>
              </w:rPr>
              <w:t>とは、平成</w:t>
            </w:r>
            <w:r>
              <w:rPr>
                <w:rFonts w:hint="eastAsia" w:ascii="HG丸ｺﾞｼｯｸM-PRO" w:hAnsi="HG丸ｺﾞｼｯｸM-PRO" w:eastAsia="HG丸ｺﾞｼｯｸM-PRO"/>
                <w:color w:val="0070C0"/>
                <w:sz w:val="22"/>
              </w:rPr>
              <w:t>12</w:t>
            </w:r>
            <w:r>
              <w:rPr>
                <w:rFonts w:hint="eastAsia" w:ascii="HG丸ｺﾞｼｯｸM-PRO" w:hAnsi="HG丸ｺﾞｼｯｸM-PRO" w:eastAsia="HG丸ｺﾞｼｯｸM-PRO"/>
                <w:color w:val="0070C0"/>
                <w:sz w:val="22"/>
              </w:rPr>
              <w:t>年（</w:t>
            </w:r>
            <w:r>
              <w:rPr>
                <w:rFonts w:hint="eastAsia" w:ascii="HG丸ｺﾞｼｯｸM-PRO" w:hAnsi="HG丸ｺﾞｼｯｸM-PRO" w:eastAsia="HG丸ｺﾞｼｯｸM-PRO"/>
                <w:color w:val="0070C0"/>
                <w:sz w:val="22"/>
              </w:rPr>
              <w:t>2000</w:t>
            </w:r>
            <w:r>
              <w:rPr>
                <w:rFonts w:hint="eastAsia" w:ascii="HG丸ｺﾞｼｯｸM-PRO" w:hAnsi="HG丸ｺﾞｼｯｸM-PRO" w:eastAsia="HG丸ｺﾞｼｯｸM-PRO"/>
                <w:color w:val="0070C0"/>
                <w:sz w:val="22"/>
              </w:rPr>
              <w:t>年）４月１日に施行された</w:t>
            </w:r>
            <w:r>
              <w:rPr>
                <w:rFonts w:hint="eastAsia" w:ascii="HG丸ｺﾞｼｯｸM-PRO" w:hAnsi="HG丸ｺﾞｼｯｸM-PRO" w:eastAsia="HG丸ｺﾞｼｯｸM-PRO"/>
                <w:b w:val="1"/>
                <w:color w:val="0070C0"/>
                <w:sz w:val="22"/>
              </w:rPr>
              <w:t>「住宅の品質確保の促進等に関する法律（品確法）」</w:t>
            </w:r>
            <w:r>
              <w:rPr>
                <w:rFonts w:hint="eastAsia" w:ascii="HG丸ｺﾞｼｯｸM-PRO" w:hAnsi="HG丸ｺﾞｼｯｸM-PRO" w:eastAsia="HG丸ｺﾞｼｯｸM-PRO"/>
                <w:color w:val="0070C0"/>
                <w:sz w:val="22"/>
              </w:rPr>
              <w:t>に基づく制度です。</w:t>
            </w:r>
          </w:p>
          <w:p>
            <w:pPr>
              <w:pStyle w:val="0"/>
              <w:spacing w:line="240" w:lineRule="atLeast"/>
              <w:contextualSpacing w:val="1"/>
              <w:rPr>
                <w:rFonts w:hint="eastAsia" w:ascii="HG丸ｺﾞｼｯｸM-PRO" w:hAnsi="HG丸ｺﾞｼｯｸM-PRO" w:eastAsia="HG丸ｺﾞｼｯｸM-PRO"/>
                <w:sz w:val="22"/>
              </w:rPr>
            </w:pP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bl>
      <w:tblPr>
        <w:tblStyle w:val="17"/>
        <w:tblpPr w:leftFromText="142" w:rightFromText="142" w:topFromText="0" w:bottomFromText="0" w:vertAnchor="text" w:horzAnchor="text" w:tblpX="4" w:tblpY="37"/>
        <w:tblW w:w="0" w:type="auto"/>
        <w:shd w:val="clear" w:color="auto" w:fill="auto"/>
        <w:tblLayout w:type="fixed"/>
        <w:tblLook w:firstRow="1" w:lastRow="0" w:firstColumn="1" w:lastColumn="0" w:noHBand="0" w:noVBand="1" w:val="04A0"/>
      </w:tblPr>
      <w:tblGrid>
        <w:gridCol w:w="415"/>
        <w:gridCol w:w="9506"/>
      </w:tblGrid>
      <w:tr>
        <w:trPr/>
        <w:tc>
          <w:tcPr>
            <w:tcW w:w="99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8"/>
              </w:rPr>
            </w:pPr>
            <w:r>
              <w:rPr>
                <w:rFonts w:hint="eastAsia"/>
                <w:sz w:val="28"/>
              </w:rPr>
              <w:t>■Ｑ＆Ａ</w:t>
            </w:r>
          </w:p>
        </w:tc>
      </w:tr>
      <w:tr>
        <w:trPr>
          <w:trHeight w:val="567" w:hRule="atLeast"/>
        </w:trPr>
        <w:tc>
          <w:tcPr>
            <w:tcW w:w="415" w:type="dxa"/>
            <w:shd w:val="clear" w:color="auto" w:themeFill="accent6" w:themeFillTint="33" w:themeFillShade="FF"/>
            <w:vAlign w:val="center"/>
          </w:tcPr>
          <w:p>
            <w:pPr>
              <w:pStyle w:val="0"/>
              <w:jc w:val="left"/>
              <w:rPr>
                <w:rFonts w:hint="eastAsia"/>
              </w:rPr>
            </w:pPr>
            <w:r>
              <w:rPr>
                <w:rFonts w:hint="eastAsia"/>
              </w:rPr>
              <w:t>①</w:t>
            </w:r>
          </w:p>
        </w:tc>
        <w:tc>
          <w:tcPr>
            <w:tcW w:w="950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left"/>
              <w:rPr>
                <w:rFonts w:hint="eastAsia"/>
              </w:rPr>
            </w:pPr>
            <w:r>
              <w:rPr>
                <w:rFonts w:hint="eastAsia" w:ascii="HG丸ｺﾞｼｯｸM-PRO" w:hAnsi="HG丸ｺﾞｼｯｸM-PRO" w:eastAsia="HG丸ｺﾞｼｯｸM-PRO"/>
                <w:sz w:val="22"/>
              </w:rPr>
              <w:t>組立式仮設建築物はなぜ認められないのか？</w:t>
            </w:r>
          </w:p>
        </w:tc>
      </w:tr>
      <w:tr>
        <w:trPr/>
        <w:tc>
          <w:tcPr>
            <w:tcW w:w="415" w:type="dxa"/>
            <w:shd w:val="clear" w:color="auto" w:fill="auto"/>
            <w:vAlign w:val="top"/>
          </w:tcPr>
          <w:p>
            <w:pPr>
              <w:pStyle w:val="0"/>
              <w:rPr>
                <w:rFonts w:hint="eastAsia" w:ascii="HG丸ｺﾞｼｯｸM-PRO" w:hAnsi="HG丸ｺﾞｼｯｸM-PRO" w:eastAsia="HG丸ｺﾞｼｯｸM-PRO"/>
                <w:sz w:val="22"/>
              </w:rPr>
            </w:pPr>
          </w:p>
        </w:tc>
        <w:tc>
          <w:tcPr>
            <w:tcW w:w="950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一般的には、安全上、防火上及び衛生上支障がないと認める場合において、１年以内の期間を定めてその建築を許可するものを仮設建築物といいます。</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仮設建築物として認めれれるものは①非常災害時の応急仮設建築物②災害時の公益上必要な応急仮設建築物③工事施工のための現場事務所等④仮設興業場等・仮設店舗等の設置となり、賃貸住宅や寄宿舎はこの条件に該当しないため認めていません。</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color w:val="0070C0"/>
                <w:sz w:val="22"/>
              </w:rPr>
              <w:t>関係法令　建築基準法８５条</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color w:val="FF0000"/>
                <w:sz w:val="22"/>
              </w:rPr>
              <w:t>※「基礎がないから仮設建築物」「一定期間しか設置しないから仮設建築部」といういうような定義ではありません。</w:t>
            </w:r>
          </w:p>
        </w:tc>
      </w:tr>
      <w:tr>
        <w:trPr>
          <w:trHeight w:val="567" w:hRule="atLeast"/>
        </w:trPr>
        <w:tc>
          <w:tcPr>
            <w:tcW w:w="415" w:type="dxa"/>
            <w:shd w:val="clear" w:color="auto" w:themeFill="accent6" w:themeFillTint="33" w:themeFillShade="FF"/>
            <w:vAlign w:val="center"/>
          </w:tcPr>
          <w:p>
            <w:pPr>
              <w:pStyle w:val="0"/>
              <w:jc w:val="left"/>
              <w:rPr>
                <w:rFonts w:hint="eastAsia"/>
              </w:rPr>
            </w:pPr>
            <w:r>
              <w:rPr>
                <w:rFonts w:hint="eastAsia"/>
              </w:rPr>
              <w:t>②</w:t>
            </w:r>
          </w:p>
        </w:tc>
        <w:tc>
          <w:tcPr>
            <w:tcW w:w="950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left"/>
              <w:rPr>
                <w:rFonts w:hint="eastAsia"/>
              </w:rPr>
            </w:pPr>
            <w:r>
              <w:rPr>
                <w:rFonts w:hint="eastAsia" w:ascii="HG丸ｺﾞｼｯｸM-PRO" w:hAnsi="HG丸ｺﾞｼｯｸM-PRO" w:eastAsia="HG丸ｺﾞｼｯｸM-PRO"/>
                <w:sz w:val="22"/>
              </w:rPr>
              <w:t>コンテナハウス・鉄骨系プレハブ・木質系プレハブ等の取り扱いは</w:t>
            </w:r>
            <w:r>
              <w:rPr>
                <w:rFonts w:hint="eastAsia" w:ascii="HG丸ｺﾞｼｯｸM-PRO" w:hAnsi="HG丸ｺﾞｼｯｸM-PRO" w:eastAsia="HG丸ｺﾞｼｯｸM-PRO"/>
                <w:sz w:val="22"/>
              </w:rPr>
              <w:t>?</w:t>
            </w:r>
          </w:p>
        </w:tc>
      </w:tr>
      <w:tr>
        <w:trPr>
          <w:trHeight w:val="5810" w:hRule="atLeast"/>
        </w:trPr>
        <w:tc>
          <w:tcPr>
            <w:tcW w:w="415" w:type="dxa"/>
            <w:shd w:val="clear" w:color="auto" w:fill="auto"/>
            <w:vAlign w:val="top"/>
          </w:tcPr>
          <w:p>
            <w:pPr>
              <w:pStyle w:val="0"/>
              <w:rPr>
                <w:rFonts w:hint="eastAsia" w:ascii="HG丸ｺﾞｼｯｸM-PRO" w:hAnsi="HG丸ｺﾞｼｯｸM-PRO" w:eastAsia="HG丸ｺﾞｼｯｸM-PRO"/>
                <w:sz w:val="22"/>
              </w:rPr>
            </w:pPr>
          </w:p>
        </w:tc>
        <w:tc>
          <w:tcPr>
            <w:tcW w:w="950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「建築物」の定義は、基本的に、「簡単に動かせなく、人が入れるもの」となります。</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このことから、コンテナハウスや鉄骨プレハブ・木質プレハブ等は、一部を除き「建築物」に該当します。</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建築基準法では、建築物の基礎、主要構造部その他安全上、防火上又は衛生上重要である政令で定める部分に使用する木材、鋼材、コンクリートその他の建築材料として国土交通大臣が定めるものを使用することになっています。</w:t>
            </w: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■建設の条件</w:t>
            </w:r>
          </w:p>
          <w:p>
            <w:pPr>
              <w:pStyle w:val="0"/>
              <w:ind w:firstLine="22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①コンテナハウスや鉄骨プレハブ・木質プレハブ等は、ＪＩＳ・ＪＡＳ規格品を使用し、</w:t>
            </w:r>
          </w:p>
          <w:p>
            <w:pPr>
              <w:pStyle w:val="0"/>
              <w:ind w:firstLine="440" w:firstLine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構造計算により安全が保証されているもの</w:t>
            </w:r>
          </w:p>
          <w:p>
            <w:pPr>
              <w:pStyle w:val="0"/>
              <w:ind w:left="870" w:leftChars="100" w:hanging="660" w:hangingChars="30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②基礎は、ＪＩＳ規格品のコンクリート･鉄筋を使用し、国土交通大臣が定めた構造方法</w:t>
            </w:r>
          </w:p>
          <w:p>
            <w:pPr>
              <w:pStyle w:val="0"/>
              <w:ind w:left="860" w:leftChars="200" w:hanging="440" w:hangingChars="20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を用いるもの。（布基礎・べた基礎・杭基礎など）</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w:t>
            </w:r>
            <w:bookmarkStart w:id="0" w:name="_GoBack"/>
            <w:bookmarkEnd w:id="0"/>
          </w:p>
          <w:p>
            <w:pPr>
              <w:pStyle w:val="0"/>
              <w:ind w:firstLine="22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コンテナハウスや鉄骨プレハブ・木質プレハブ等を利用した建築物を建てる場合は、①②の両方をクリアする必要があります。</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w:t>
            </w:r>
          </w:p>
          <w:p>
            <w:pPr>
              <w:pStyle w:val="0"/>
              <w:rPr>
                <w:rFonts w:hint="eastAsia" w:ascii="HG丸ｺﾞｼｯｸM-PRO" w:hAnsi="HG丸ｺﾞｼｯｸM-PRO" w:eastAsia="HG丸ｺﾞｼｯｸM-PRO"/>
                <w:color w:val="0070C0"/>
                <w:sz w:val="22"/>
              </w:rPr>
            </w:pPr>
            <w:r>
              <w:rPr>
                <w:rFonts w:hint="eastAsia" w:ascii="HG丸ｺﾞｼｯｸM-PRO" w:hAnsi="HG丸ｺﾞｼｯｸM-PRO" w:eastAsia="HG丸ｺﾞｼｯｸM-PRO"/>
                <w:color w:val="0070C0"/>
                <w:sz w:val="22"/>
              </w:rPr>
              <w:t>関係法令</w:t>
            </w:r>
          </w:p>
          <w:p>
            <w:pPr>
              <w:pStyle w:val="0"/>
              <w:ind w:firstLine="220" w:firstLineChars="100"/>
              <w:rPr>
                <w:rFonts w:hint="eastAsia" w:ascii="HG丸ｺﾞｼｯｸM-PRO" w:hAnsi="HG丸ｺﾞｼｯｸM-PRO" w:eastAsia="HG丸ｺﾞｼｯｸM-PRO"/>
                <w:color w:val="0070C0"/>
                <w:sz w:val="22"/>
              </w:rPr>
            </w:pPr>
            <w:r>
              <w:rPr>
                <w:rFonts w:hint="eastAsia" w:ascii="HG丸ｺﾞｼｯｸM-PRO" w:hAnsi="HG丸ｺﾞｼｯｸM-PRO" w:eastAsia="HG丸ｺﾞｼｯｸM-PRO"/>
                <w:color w:val="0070C0"/>
                <w:sz w:val="22"/>
              </w:rPr>
              <w:t>建築基準法第３７条　「建築材料の品質」</w:t>
            </w:r>
          </w:p>
          <w:p>
            <w:pPr>
              <w:pStyle w:val="0"/>
              <w:ind w:firstLine="220" w:firstLineChars="100"/>
              <w:rPr>
                <w:rFonts w:hint="eastAsia" w:ascii="HG丸ｺﾞｼｯｸM-PRO" w:hAnsi="HG丸ｺﾞｼｯｸM-PRO" w:eastAsia="HG丸ｺﾞｼｯｸM-PRO"/>
                <w:color w:val="0070C0"/>
                <w:sz w:val="22"/>
              </w:rPr>
            </w:pPr>
            <w:r>
              <w:rPr>
                <w:rFonts w:hint="eastAsia" w:ascii="HG丸ｺﾞｼｯｸM-PRO" w:hAnsi="HG丸ｺﾞｼｯｸM-PRO" w:eastAsia="HG丸ｺﾞｼｯｸM-PRO"/>
                <w:color w:val="0070C0"/>
                <w:sz w:val="22"/>
              </w:rPr>
              <w:t>建築基準法第３８条　「特殊の構造方法又は建築材料」</w:t>
            </w:r>
          </w:p>
          <w:p>
            <w:pPr>
              <w:pStyle w:val="0"/>
              <w:ind w:firstLine="220" w:firstLineChars="100"/>
              <w:rPr>
                <w:rFonts w:hint="eastAsia" w:ascii="HG丸ｺﾞｼｯｸM-PRO" w:hAnsi="HG丸ｺﾞｼｯｸM-PRO" w:eastAsia="HG丸ｺﾞｼｯｸM-PRO"/>
                <w:color w:val="0070C0"/>
                <w:sz w:val="22"/>
              </w:rPr>
            </w:pPr>
            <w:r>
              <w:rPr>
                <w:rFonts w:hint="eastAsia" w:ascii="HG丸ｺﾞｼｯｸM-PRO" w:hAnsi="HG丸ｺﾞｼｯｸM-PRO" w:eastAsia="HG丸ｺﾞｼｯｸM-PRO"/>
                <w:color w:val="0070C0"/>
                <w:sz w:val="22"/>
              </w:rPr>
              <w:t>建築基準法施行令第３８条　「基礎」</w:t>
            </w:r>
          </w:p>
          <w:p>
            <w:pPr>
              <w:pStyle w:val="0"/>
              <w:ind w:firstLine="220" w:firstLineChars="100"/>
              <w:rPr>
                <w:rFonts w:hint="eastAsia" w:ascii="HG丸ｺﾞｼｯｸM-PRO" w:hAnsi="HG丸ｺﾞｼｯｸM-PRO" w:eastAsia="HG丸ｺﾞｼｯｸM-PRO"/>
                <w:color w:val="0070C0"/>
                <w:sz w:val="22"/>
              </w:rPr>
            </w:pPr>
            <w:r>
              <w:rPr>
                <w:rFonts w:hint="eastAsia" w:ascii="HG丸ｺﾞｼｯｸM-PRO" w:hAnsi="HG丸ｺﾞｼｯｸM-PRO" w:eastAsia="HG丸ｺﾞｼｯｸM-PRO"/>
                <w:color w:val="0070C0"/>
                <w:sz w:val="22"/>
              </w:rPr>
              <w:t>建築基準法施行令第</w:t>
            </w:r>
            <w:r>
              <w:rPr>
                <w:rFonts w:hint="eastAsia" w:ascii="HG丸ｺﾞｼｯｸM-PRO" w:hAnsi="HG丸ｺﾞｼｯｸM-PRO" w:eastAsia="HG丸ｺﾞｼｯｸM-PRO"/>
                <w:color w:val="0070C0"/>
                <w:sz w:val="22"/>
              </w:rPr>
              <w:t>144</w:t>
            </w:r>
            <w:r>
              <w:rPr>
                <w:rFonts w:hint="eastAsia" w:ascii="HG丸ｺﾞｼｯｸM-PRO" w:hAnsi="HG丸ｺﾞｼｯｸM-PRO" w:eastAsia="HG丸ｺﾞｼｯｸM-PRO"/>
                <w:color w:val="0070C0"/>
                <w:sz w:val="22"/>
              </w:rPr>
              <w:t>条の３　「安全上、防火上又は衛生上重要である建築物の部分」</w:t>
            </w:r>
          </w:p>
          <w:p>
            <w:pPr>
              <w:pStyle w:val="0"/>
              <w:ind w:firstLine="220" w:firstLineChars="100"/>
              <w:rPr>
                <w:rFonts w:hint="eastAsia" w:ascii="HG丸ｺﾞｼｯｸM-PRO" w:hAnsi="HG丸ｺﾞｼｯｸM-PRO" w:eastAsia="HG丸ｺﾞｼｯｸM-PRO"/>
                <w:color w:val="0070C0"/>
                <w:sz w:val="22"/>
              </w:rPr>
            </w:pPr>
            <w:r>
              <w:rPr>
                <w:rFonts w:hint="eastAsia" w:ascii="HG丸ｺﾞｼｯｸM-PRO" w:hAnsi="HG丸ｺﾞｼｯｸM-PRO" w:eastAsia="HG丸ｺﾞｼｯｸM-PRO"/>
                <w:color w:val="0070C0"/>
                <w:sz w:val="22"/>
              </w:rPr>
              <w:t>平</w:t>
            </w:r>
            <w:r>
              <w:rPr>
                <w:rFonts w:hint="eastAsia" w:ascii="HG丸ｺﾞｼｯｸM-PRO" w:hAnsi="HG丸ｺﾞｼｯｸM-PRO" w:eastAsia="HG丸ｺﾞｼｯｸM-PRO"/>
                <w:color w:val="0070C0"/>
                <w:sz w:val="22"/>
              </w:rPr>
              <w:t>12</w:t>
            </w:r>
            <w:r>
              <w:rPr>
                <w:rFonts w:hint="eastAsia" w:ascii="HG丸ｺﾞｼｯｸM-PRO" w:hAnsi="HG丸ｺﾞｼｯｸM-PRO" w:eastAsia="HG丸ｺﾞｼｯｸM-PRO"/>
                <w:color w:val="0070C0"/>
                <w:sz w:val="22"/>
              </w:rPr>
              <w:t>建告</w:t>
            </w:r>
            <w:r>
              <w:rPr>
                <w:rFonts w:hint="eastAsia" w:ascii="HG丸ｺﾞｼｯｸM-PRO" w:hAnsi="HG丸ｺﾞｼｯｸM-PRO" w:eastAsia="HG丸ｺﾞｼｯｸM-PRO"/>
                <w:color w:val="0070C0"/>
                <w:sz w:val="22"/>
              </w:rPr>
              <w:t>1347</w:t>
            </w:r>
            <w:r>
              <w:rPr>
                <w:rFonts w:hint="eastAsia" w:ascii="HG丸ｺﾞｼｯｸM-PRO" w:hAnsi="HG丸ｺﾞｼｯｸM-PRO" w:eastAsia="HG丸ｺﾞｼｯｸM-PRO"/>
                <w:color w:val="0070C0"/>
                <w:sz w:val="22"/>
              </w:rPr>
              <w:t>号「建築物の基礎の構造方法及び構造計算の基準を定める件」</w:t>
            </w:r>
          </w:p>
          <w:p>
            <w:pPr>
              <w:pStyle w:val="0"/>
              <w:ind w:left="2410" w:leftChars="100" w:hanging="2200" w:hangingChars="1000"/>
              <w:rPr>
                <w:rFonts w:hint="eastAsia" w:ascii="HG丸ｺﾞｼｯｸM-PRO" w:hAnsi="HG丸ｺﾞｼｯｸM-PRO" w:eastAsia="HG丸ｺﾞｼｯｸM-PRO"/>
                <w:color w:val="0070C0"/>
                <w:sz w:val="22"/>
              </w:rPr>
            </w:pPr>
            <w:r>
              <w:rPr>
                <w:rFonts w:hint="eastAsia" w:ascii="HG丸ｺﾞｼｯｸM-PRO" w:hAnsi="HG丸ｺﾞｼｯｸM-PRO" w:eastAsia="HG丸ｺﾞｼｯｸM-PRO"/>
                <w:color w:val="0070C0"/>
                <w:sz w:val="22"/>
              </w:rPr>
              <w:t>平</w:t>
            </w:r>
            <w:r>
              <w:rPr>
                <w:rFonts w:hint="eastAsia" w:ascii="HG丸ｺﾞｼｯｸM-PRO" w:hAnsi="HG丸ｺﾞｼｯｸM-PRO" w:eastAsia="HG丸ｺﾞｼｯｸM-PRO"/>
                <w:color w:val="0070C0"/>
                <w:sz w:val="22"/>
              </w:rPr>
              <w:t>12</w:t>
            </w:r>
            <w:r>
              <w:rPr>
                <w:rFonts w:hint="eastAsia" w:ascii="HG丸ｺﾞｼｯｸM-PRO" w:hAnsi="HG丸ｺﾞｼｯｸM-PRO" w:eastAsia="HG丸ｺﾞｼｯｸM-PRO"/>
                <w:color w:val="0070C0"/>
                <w:sz w:val="22"/>
              </w:rPr>
              <w:t>建告</w:t>
            </w:r>
            <w:r>
              <w:rPr>
                <w:rFonts w:hint="eastAsia" w:ascii="HG丸ｺﾞｼｯｸM-PRO" w:hAnsi="HG丸ｺﾞｼｯｸM-PRO" w:eastAsia="HG丸ｺﾞｼｯｸM-PRO"/>
                <w:color w:val="0070C0"/>
                <w:sz w:val="22"/>
              </w:rPr>
              <w:t>1446</w:t>
            </w:r>
            <w:r>
              <w:rPr>
                <w:rFonts w:hint="eastAsia" w:ascii="HG丸ｺﾞｼｯｸM-PRO" w:hAnsi="HG丸ｺﾞｼｯｸM-PRO" w:eastAsia="HG丸ｺﾞｼｯｸM-PRO"/>
                <w:color w:val="0070C0"/>
                <w:sz w:val="22"/>
              </w:rPr>
              <w:t>号「建築物の基礎、主要構造部等に使用する建築材料並びにこれらの建築材料が適合すべき日本産業企画又は日本農林規格及び品質に関する技術的基準を定める件」</w:t>
            </w:r>
          </w:p>
          <w:p>
            <w:pPr>
              <w:pStyle w:val="0"/>
              <w:ind w:firstLine="220" w:firstLineChars="100"/>
              <w:rPr>
                <w:rFonts w:hint="eastAsia" w:ascii="HG丸ｺﾞｼｯｸM-PRO" w:hAnsi="HG丸ｺﾞｼｯｸM-PRO" w:eastAsia="HG丸ｺﾞｼｯｸM-PRO"/>
                <w:color w:val="0070C0"/>
                <w:sz w:val="22"/>
              </w:rPr>
            </w:pPr>
            <w:r>
              <w:rPr>
                <w:rFonts w:hint="eastAsia" w:ascii="HG丸ｺﾞｼｯｸM-PRO" w:hAnsi="HG丸ｺﾞｼｯｸM-PRO" w:eastAsia="HG丸ｺﾞｼｯｸM-PRO"/>
                <w:color w:val="0070C0"/>
                <w:sz w:val="22"/>
              </w:rPr>
              <w:t>平</w:t>
            </w:r>
            <w:r>
              <w:rPr>
                <w:rFonts w:hint="eastAsia" w:ascii="HG丸ｺﾞｼｯｸM-PRO" w:hAnsi="HG丸ｺﾞｼｯｸM-PRO" w:eastAsia="HG丸ｺﾞｼｯｸM-PRO"/>
                <w:color w:val="0070C0"/>
                <w:sz w:val="22"/>
              </w:rPr>
              <w:t>12</w:t>
            </w:r>
            <w:r>
              <w:rPr>
                <w:rFonts w:hint="eastAsia" w:ascii="HG丸ｺﾞｼｯｸM-PRO" w:hAnsi="HG丸ｺﾞｼｯｸM-PRO" w:eastAsia="HG丸ｺﾞｼｯｸM-PRO"/>
                <w:color w:val="0070C0"/>
                <w:sz w:val="22"/>
              </w:rPr>
              <w:t>建告</w:t>
            </w:r>
            <w:r>
              <w:rPr>
                <w:rFonts w:hint="eastAsia" w:ascii="HG丸ｺﾞｼｯｸM-PRO" w:hAnsi="HG丸ｺﾞｼｯｸM-PRO" w:eastAsia="HG丸ｺﾞｼｯｸM-PRO"/>
                <w:color w:val="0070C0"/>
                <w:sz w:val="22"/>
              </w:rPr>
              <w:t>1456</w:t>
            </w:r>
            <w:r>
              <w:rPr>
                <w:rFonts w:hint="eastAsia" w:ascii="HG丸ｺﾞｼｯｸM-PRO" w:hAnsi="HG丸ｺﾞｼｯｸM-PRO" w:eastAsia="HG丸ｺﾞｼｯｸM-PRO"/>
                <w:color w:val="0070C0"/>
                <w:sz w:val="22"/>
              </w:rPr>
              <w:t>号「鉄骨造の柱の脚部を基礎に緊結する構造方法の基準を定める件」</w:t>
            </w:r>
          </w:p>
          <w:p>
            <w:pPr>
              <w:pStyle w:val="0"/>
              <w:ind w:firstLine="220" w:firstLineChars="100"/>
              <w:rPr>
                <w:rFonts w:hint="eastAsia" w:ascii="HG丸ｺﾞｼｯｸM-PRO" w:hAnsi="HG丸ｺﾞｼｯｸM-PRO" w:eastAsia="HG丸ｺﾞｼｯｸM-PRO"/>
                <w:color w:val="0070C0"/>
                <w:sz w:val="22"/>
              </w:rPr>
            </w:pPr>
            <w:r>
              <w:rPr>
                <w:rFonts w:hint="eastAsia" w:ascii="HG丸ｺﾞｼｯｸM-PRO" w:hAnsi="HG丸ｺﾞｼｯｸM-PRO" w:eastAsia="HG丸ｺﾞｼｯｸM-PRO"/>
                <w:color w:val="0070C0"/>
                <w:sz w:val="22"/>
              </w:rPr>
              <w:t>平</w:t>
            </w:r>
            <w:r>
              <w:rPr>
                <w:rFonts w:hint="eastAsia" w:ascii="HG丸ｺﾞｼｯｸM-PRO" w:hAnsi="HG丸ｺﾞｼｯｸM-PRO" w:eastAsia="HG丸ｺﾞｼｯｸM-PRO"/>
                <w:color w:val="0070C0"/>
                <w:sz w:val="22"/>
              </w:rPr>
              <w:t>13</w:t>
            </w:r>
            <w:r>
              <w:rPr>
                <w:rFonts w:hint="eastAsia" w:ascii="HG丸ｺﾞｼｯｸM-PRO" w:hAnsi="HG丸ｺﾞｼｯｸM-PRO" w:eastAsia="HG丸ｺﾞｼｯｸM-PRO"/>
                <w:color w:val="0070C0"/>
                <w:sz w:val="22"/>
              </w:rPr>
              <w:t>建告</w:t>
            </w:r>
            <w:r>
              <w:rPr>
                <w:rFonts w:hint="eastAsia" w:ascii="HG丸ｺﾞｼｯｸM-PRO" w:hAnsi="HG丸ｺﾞｼｯｸM-PRO" w:eastAsia="HG丸ｺﾞｼｯｸM-PRO"/>
                <w:color w:val="0070C0"/>
                <w:sz w:val="22"/>
              </w:rPr>
              <w:t>1540</w:t>
            </w:r>
            <w:r>
              <w:rPr>
                <w:rFonts w:hint="eastAsia" w:ascii="HG丸ｺﾞｼｯｸM-PRO" w:hAnsi="HG丸ｺﾞｼｯｸM-PRO" w:eastAsia="HG丸ｺﾞｼｯｸM-PRO"/>
                <w:color w:val="0070C0"/>
                <w:sz w:val="22"/>
              </w:rPr>
              <w:t>号「枠組壁工法又は木質プレハブ工法を用いた建築物又は建築物の構造</w:t>
            </w:r>
          </w:p>
          <w:p>
            <w:pPr>
              <w:pStyle w:val="0"/>
              <w:ind w:firstLine="2420" w:firstLineChars="1100"/>
              <w:rPr>
                <w:rFonts w:hint="eastAsia" w:ascii="HG丸ｺﾞｼｯｸM-PRO" w:hAnsi="HG丸ｺﾞｼｯｸM-PRO" w:eastAsia="HG丸ｺﾞｼｯｸM-PRO"/>
                <w:sz w:val="22"/>
              </w:rPr>
            </w:pPr>
            <w:r>
              <w:rPr>
                <w:rFonts w:hint="eastAsia" w:ascii="HG丸ｺﾞｼｯｸM-PRO" w:hAnsi="HG丸ｺﾞｼｯｸM-PRO" w:eastAsia="HG丸ｺﾞｼｯｸM-PRO"/>
                <w:color w:val="0070C0"/>
                <w:sz w:val="22"/>
              </w:rPr>
              <w:t>部分の構造方法に関する安全上必要な技術的基準を定める件」</w:t>
            </w:r>
          </w:p>
        </w:tc>
      </w:tr>
      <w:tr>
        <w:trPr>
          <w:trHeight w:val="567" w:hRule="atLeast"/>
        </w:trPr>
        <w:tc>
          <w:tcPr>
            <w:tcW w:w="415" w:type="dxa"/>
            <w:shd w:val="clear" w:color="auto" w:themeFill="accent6" w:themeFillTint="33" w:themeFillShade="FF"/>
            <w:vAlign w:val="center"/>
          </w:tcPr>
          <w:p>
            <w:pPr>
              <w:pStyle w:val="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③</w:t>
            </w:r>
          </w:p>
        </w:tc>
        <w:tc>
          <w:tcPr>
            <w:tcW w:w="950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住宅用途に使用するコンテナは？</w:t>
            </w:r>
          </w:p>
        </w:tc>
      </w:tr>
      <w:tr>
        <w:trPr/>
        <w:tc>
          <w:tcPr>
            <w:tcW w:w="415" w:type="dxa"/>
            <w:shd w:val="clear" w:color="auto" w:fill="auto"/>
            <w:vAlign w:val="top"/>
          </w:tcPr>
          <w:p>
            <w:pPr>
              <w:pStyle w:val="0"/>
              <w:rPr>
                <w:rFonts w:hint="eastAsia" w:ascii="HG丸ｺﾞｼｯｸM-PRO" w:hAnsi="HG丸ｺﾞｼｯｸM-PRO" w:eastAsia="HG丸ｺﾞｼｯｸM-PRO"/>
                <w:sz w:val="22"/>
                <w:highlight w:val="none"/>
              </w:rPr>
            </w:pPr>
          </w:p>
        </w:tc>
        <w:tc>
          <w:tcPr>
            <w:tcW w:w="950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sz w:val="22"/>
                <w:highlight w:val="none"/>
              </w:rPr>
            </w:pPr>
            <w:r>
              <w:rPr>
                <w:rFonts w:hint="eastAsia" w:ascii="HG丸ｺﾞｼｯｸM-PRO" w:hAnsi="HG丸ｺﾞｼｯｸM-PRO" w:eastAsia="HG丸ｺﾞｼｯｸM-PRO"/>
                <w:sz w:val="22"/>
                <w:highlight w:val="none"/>
              </w:rPr>
              <w:t>必要条件</w:t>
            </w:r>
          </w:p>
          <w:p>
            <w:pPr>
              <w:pStyle w:val="0"/>
              <w:ind w:firstLine="220" w:firstLineChars="100"/>
              <w:rPr>
                <w:rFonts w:hint="eastAsia" w:ascii="HG丸ｺﾞｼｯｸM-PRO" w:hAnsi="HG丸ｺﾞｼｯｸM-PRO" w:eastAsia="HG丸ｺﾞｼｯｸM-PRO"/>
                <w:sz w:val="22"/>
                <w:highlight w:val="none"/>
              </w:rPr>
            </w:pPr>
            <w:r>
              <w:rPr>
                <w:rFonts w:hint="eastAsia" w:ascii="HG丸ｺﾞｼｯｸM-PRO" w:hAnsi="HG丸ｺﾞｼｯｸM-PRO" w:eastAsia="HG丸ｺﾞｼｯｸM-PRO"/>
                <w:sz w:val="22"/>
                <w:highlight w:val="none"/>
              </w:rPr>
              <w:t>①主要構造部がＪＩＳ鋼材で作られていること。（ミルシートの提出が可能）</w:t>
            </w:r>
          </w:p>
          <w:p>
            <w:pPr>
              <w:pStyle w:val="0"/>
              <w:ind w:left="430" w:leftChars="100" w:hanging="220" w:hangingChars="100"/>
              <w:rPr>
                <w:rFonts w:hint="eastAsia" w:ascii="HG丸ｺﾞｼｯｸM-PRO" w:hAnsi="HG丸ｺﾞｼｯｸM-PRO" w:eastAsia="HG丸ｺﾞｼｯｸM-PRO"/>
                <w:sz w:val="22"/>
                <w:highlight w:val="none"/>
              </w:rPr>
            </w:pPr>
            <w:r>
              <w:rPr>
                <w:rFonts w:hint="eastAsia" w:ascii="HG丸ｺﾞｼｯｸM-PRO" w:hAnsi="HG丸ｺﾞｼｯｸM-PRO" w:eastAsia="HG丸ｺﾞｼｯｸM-PRO"/>
                <w:sz w:val="22"/>
                <w:highlight w:val="none"/>
              </w:rPr>
              <w:t>②主要構造材を溶接する溶接技術者は、溶接技能認定（ＪＩＳ間低試験規格に基づく評価認定）を取得していること。（※コンテナ製造工場が鉄骨製作工場認定を受けていることで溶接技術を証明することが可能。（国土交通大臣認定））</w:t>
            </w:r>
          </w:p>
          <w:p>
            <w:pPr>
              <w:pStyle w:val="0"/>
              <w:ind w:firstLine="220" w:firstLineChars="100"/>
              <w:rPr>
                <w:rFonts w:hint="eastAsia" w:ascii="HG丸ｺﾞｼｯｸM-PRO" w:hAnsi="HG丸ｺﾞｼｯｸM-PRO" w:eastAsia="HG丸ｺﾞｼｯｸM-PRO"/>
                <w:sz w:val="22"/>
                <w:highlight w:val="none"/>
              </w:rPr>
            </w:pPr>
            <w:r>
              <w:rPr>
                <w:rFonts w:hint="eastAsia" w:ascii="HG丸ｺﾞｼｯｸM-PRO" w:hAnsi="HG丸ｺﾞｼｯｸM-PRO" w:eastAsia="HG丸ｺﾞｼｯｸM-PRO"/>
                <w:sz w:val="22"/>
                <w:highlight w:val="none"/>
              </w:rPr>
              <w:t>③建築確認申請に必要な構造計算が可能で、構造計算書が提出できること。</w:t>
            </w:r>
          </w:p>
          <w:p>
            <w:pPr>
              <w:pStyle w:val="0"/>
              <w:rPr>
                <w:rFonts w:hint="eastAsia" w:ascii="HG丸ｺﾞｼｯｸM-PRO" w:hAnsi="HG丸ｺﾞｼｯｸM-PRO" w:eastAsia="HG丸ｺﾞｼｯｸM-PRO"/>
                <w:sz w:val="22"/>
                <w:highlight w:val="none"/>
              </w:rPr>
            </w:pPr>
            <w:r>
              <w:rPr>
                <w:rFonts w:hint="eastAsia" w:ascii="HG丸ｺﾞｼｯｸM-PRO" w:hAnsi="HG丸ｺﾞｼｯｸM-PRO" w:eastAsia="HG丸ｺﾞｼｯｸM-PRO"/>
                <w:sz w:val="22"/>
                <w:highlight w:val="none"/>
              </w:rPr>
              <w:t>これらの条件を満たしているコンテナが、住宅用として使用可能なコンテナになります。</w:t>
            </w:r>
          </w:p>
          <w:p>
            <w:pPr>
              <w:pStyle w:val="0"/>
              <w:rPr>
                <w:rFonts w:hint="eastAsia" w:ascii="HG丸ｺﾞｼｯｸM-PRO" w:hAnsi="HG丸ｺﾞｼｯｸM-PRO" w:eastAsia="HG丸ｺﾞｼｯｸM-PRO"/>
                <w:sz w:val="22"/>
                <w:highlight w:val="none"/>
              </w:rPr>
            </w:pPr>
          </w:p>
          <w:p>
            <w:pPr>
              <w:pStyle w:val="0"/>
              <w:rPr>
                <w:rFonts w:hint="eastAsia" w:ascii="HG丸ｺﾞｼｯｸM-PRO" w:hAnsi="HG丸ｺﾞｼｯｸM-PRO" w:eastAsia="HG丸ｺﾞｼｯｸM-PRO"/>
                <w:sz w:val="22"/>
                <w:highlight w:val="none"/>
              </w:rPr>
            </w:pPr>
            <w:r>
              <w:rPr>
                <w:rFonts w:hint="eastAsia" w:ascii="HG丸ｺﾞｼｯｸM-PRO" w:hAnsi="HG丸ｺﾞｼｯｸM-PRO" w:eastAsia="HG丸ｺﾞｼｯｸM-PRO"/>
                <w:color w:val="FF0000"/>
                <w:sz w:val="22"/>
                <w:highlight w:val="none"/>
              </w:rPr>
              <w:t>※ＩＳＯ海洋輸送用コンテナは、日本の建築基準法をクリアしていないので、構造的に住宅用途に使用出来ません。（ＪＩＳ鋼材で製造されていないため）</w:t>
            </w:r>
          </w:p>
        </w:tc>
      </w:tr>
    </w:tbl>
    <w:p>
      <w:pPr>
        <w:pStyle w:val="0"/>
        <w:tabs>
          <w:tab w:val="left" w:leader="none" w:pos="1794"/>
        </w:tabs>
        <w:rPr>
          <w:rFonts w:hint="eastAsia"/>
        </w:rPr>
      </w:pPr>
    </w:p>
    <w:p>
      <w:pPr>
        <w:pStyle w:val="0"/>
        <w:rPr>
          <w:rFonts w:hint="eastAsia"/>
        </w:rPr>
      </w:pPr>
    </w:p>
    <w:sectPr>
      <w:pgSz w:w="11906" w:h="16838"/>
      <w:pgMar w:top="850" w:right="850"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819</TotalTime>
  <Pages>3</Pages>
  <Words>16</Words>
  <Characters>2427</Characters>
  <Application>JUST Note</Application>
  <Lines>128</Lines>
  <Paragraphs>86</Paragraphs>
  <Company>HP Inc.</Company>
  <CharactersWithSpaces>2452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HA199</dc:creator>
  <cp:lastModifiedBy>HA199</cp:lastModifiedBy>
  <cp:lastPrinted>2024-03-14T07:33:02Z</cp:lastPrinted>
  <dcterms:created xsi:type="dcterms:W3CDTF">2024-03-13T01:35:00Z</dcterms:created>
  <dcterms:modified xsi:type="dcterms:W3CDTF">2024-03-14T07:34:36Z</dcterms:modified>
  <cp:revision>6</cp:revision>
</cp:coreProperties>
</file>